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301F08AF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B9C2818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19306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0BB0700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0432F" w:rsidP="00BB4E29" w14:paraId="72083C26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70432F" w:rsidP="00BB4E29" w14:paraId="40F88400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70432F">
              <w:rPr>
                <w:bCs/>
                <w:sz w:val="22"/>
                <w:szCs w:val="22"/>
                <w:lang w:val="en-US" w:eastAsia="en-US" w:bidi="ar-SA"/>
              </w:rPr>
              <w:t>Mark Wigfield</w:t>
            </w:r>
            <w:r w:rsidRPr="0070432F">
              <w:rPr>
                <w:bCs/>
                <w:sz w:val="22"/>
                <w:szCs w:val="22"/>
                <w:lang w:val="en-US" w:eastAsia="en-US" w:bidi="ar-SA"/>
              </w:rPr>
              <w:t>,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418-0253</w:t>
            </w:r>
          </w:p>
          <w:p w:rsidR="00FF232D" w:rsidRPr="008A3940" w:rsidP="00BB4E29" w14:paraId="18ECDA21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mark.wigfield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5178ED91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73EBBC1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2CB59A0E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4DE3D4BD" w14:textId="7777777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  <w:lang w:val="en-US" w:eastAsia="en-US" w:bidi="ar-SA"/>
              </w:rPr>
              <w:t>A</w:t>
            </w:r>
            <w:r w:rsidR="0070432F">
              <w:rPr>
                <w:b/>
                <w:bCs/>
                <w:sz w:val="26"/>
                <w:szCs w:val="26"/>
                <w:lang w:val="en-US" w:eastAsia="en-US" w:bidi="ar-SA"/>
              </w:rPr>
              <w:t>CTS TO RESTORE INTERNET FREEDOM</w:t>
            </w:r>
          </w:p>
          <w:p w:rsidR="00CC5E08" w:rsidRPr="008A3940" w:rsidP="00040127" w14:paraId="202FEB93" w14:textId="75C94A48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Reverses Title II </w:t>
            </w:r>
            <w:r w:rsidR="0061411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Framework</w:t>
            </w:r>
            <w:r w:rsidR="00DB5A72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, </w:t>
            </w:r>
            <w:r w:rsidR="007043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Increase</w:t>
            </w:r>
            <w:r w:rsidR="00DB5A72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s</w:t>
            </w:r>
            <w:r w:rsidR="007043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Transparency </w:t>
            </w:r>
            <w:r w:rsidR="00DB5A72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to </w:t>
            </w:r>
            <w:r w:rsidR="007043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Protect Consumers,</w:t>
            </w:r>
            <w:r w:rsidR="00030BF6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br/>
            </w:r>
            <w:r w:rsidR="007043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Spur </w:t>
            </w:r>
            <w:r w:rsidR="00D245F0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Investment, Innovation, and </w:t>
            </w:r>
            <w:r w:rsidR="007043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Competition</w:t>
            </w:r>
          </w:p>
          <w:p w:rsidR="00F61155" w:rsidRPr="006B0A70" w:rsidP="00BB4E29" w14:paraId="696D306E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P="00040127" w14:paraId="1CE7D77C" w14:textId="4641B86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70432F">
              <w:rPr>
                <w:sz w:val="22"/>
                <w:szCs w:val="22"/>
                <w:lang w:val="en-US" w:eastAsia="en-US" w:bidi="ar-SA"/>
              </w:rPr>
              <w:t>December 14</w:t>
            </w:r>
            <w:r w:rsidR="0070589A">
              <w:rPr>
                <w:sz w:val="22"/>
                <w:szCs w:val="22"/>
                <w:lang w:val="en-US" w:eastAsia="en-US" w:bidi="ar-SA"/>
              </w:rPr>
              <w:t>, 2017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="00F64FB8">
              <w:rPr>
                <w:sz w:val="22"/>
                <w:szCs w:val="22"/>
                <w:lang w:val="en-US" w:eastAsia="en-US" w:bidi="ar-SA"/>
              </w:rPr>
              <w:t>T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he Federal</w:t>
            </w:r>
            <w:r w:rsidR="00614117">
              <w:rPr>
                <w:sz w:val="22"/>
                <w:szCs w:val="22"/>
                <w:lang w:val="en-US" w:eastAsia="en-US" w:bidi="ar-SA"/>
              </w:rPr>
              <w:t xml:space="preserve"> Communications Commission today </w:t>
            </w:r>
            <w:r w:rsidR="00F10CB2">
              <w:rPr>
                <w:sz w:val="22"/>
                <w:szCs w:val="22"/>
                <w:lang w:val="en-US" w:eastAsia="en-US" w:bidi="ar-SA"/>
              </w:rPr>
              <w:t xml:space="preserve">voted to </w:t>
            </w:r>
            <w:r w:rsidR="00614117">
              <w:rPr>
                <w:sz w:val="22"/>
                <w:szCs w:val="22"/>
                <w:lang w:val="en-US" w:eastAsia="en-US" w:bidi="ar-SA"/>
              </w:rPr>
              <w:t>re</w:t>
            </w:r>
            <w:r w:rsidR="00CD6515">
              <w:rPr>
                <w:sz w:val="22"/>
                <w:szCs w:val="22"/>
                <w:lang w:val="en-US" w:eastAsia="en-US" w:bidi="ar-SA"/>
              </w:rPr>
              <w:t>store</w:t>
            </w:r>
            <w:r w:rsidR="00614117">
              <w:rPr>
                <w:sz w:val="22"/>
                <w:szCs w:val="22"/>
                <w:lang w:val="en-US" w:eastAsia="en-US" w:bidi="ar-SA"/>
              </w:rPr>
              <w:t xml:space="preserve"> the </w:t>
            </w:r>
            <w:r w:rsidR="00F64FB8">
              <w:rPr>
                <w:sz w:val="22"/>
                <w:szCs w:val="22"/>
                <w:lang w:val="en-US" w:eastAsia="en-US" w:bidi="ar-SA"/>
              </w:rPr>
              <w:t xml:space="preserve">longstanding, bipartisan </w:t>
            </w:r>
            <w:r w:rsidR="00614117">
              <w:rPr>
                <w:sz w:val="22"/>
                <w:szCs w:val="22"/>
                <w:lang w:val="en-US" w:eastAsia="en-US" w:bidi="ar-SA"/>
              </w:rPr>
              <w:t xml:space="preserve">light-touch </w:t>
            </w:r>
            <w:r w:rsidR="00421A68">
              <w:rPr>
                <w:sz w:val="22"/>
                <w:szCs w:val="22"/>
                <w:lang w:val="en-US" w:eastAsia="en-US" w:bidi="ar-SA"/>
              </w:rPr>
              <w:t>regulatory framework</w:t>
            </w:r>
            <w:r w:rsidR="004E03A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14117">
              <w:rPr>
                <w:sz w:val="22"/>
                <w:szCs w:val="22"/>
                <w:lang w:val="en-US" w:eastAsia="en-US" w:bidi="ar-SA"/>
              </w:rPr>
              <w:t>that</w:t>
            </w:r>
            <w:r w:rsidR="00A3007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70855">
              <w:rPr>
                <w:sz w:val="22"/>
                <w:szCs w:val="22"/>
                <w:lang w:val="en-US" w:eastAsia="en-US" w:bidi="ar-SA"/>
              </w:rPr>
              <w:t xml:space="preserve">has </w:t>
            </w:r>
            <w:r w:rsidR="0093357E">
              <w:rPr>
                <w:sz w:val="22"/>
                <w:szCs w:val="22"/>
                <w:lang w:val="en-US" w:eastAsia="en-US" w:bidi="ar-SA"/>
              </w:rPr>
              <w:t>fostered rapid</w:t>
            </w:r>
            <w:r w:rsidR="00F64FB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C5A10">
              <w:rPr>
                <w:sz w:val="22"/>
                <w:szCs w:val="22"/>
                <w:lang w:val="en-US" w:eastAsia="en-US" w:bidi="ar-SA"/>
              </w:rPr>
              <w:t>Internet</w:t>
            </w:r>
            <w:r w:rsidR="0061411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F64FB8">
              <w:rPr>
                <w:sz w:val="22"/>
                <w:szCs w:val="22"/>
                <w:lang w:val="en-US" w:eastAsia="en-US" w:bidi="ar-SA"/>
              </w:rPr>
              <w:t xml:space="preserve">growth, openness, </w:t>
            </w:r>
            <w:r w:rsidR="00EC5A10">
              <w:rPr>
                <w:sz w:val="22"/>
                <w:szCs w:val="22"/>
                <w:lang w:val="en-US" w:eastAsia="en-US" w:bidi="ar-SA"/>
              </w:rPr>
              <w:t xml:space="preserve">and freedom </w:t>
            </w:r>
            <w:r w:rsidR="0093357E">
              <w:rPr>
                <w:sz w:val="22"/>
                <w:szCs w:val="22"/>
                <w:lang w:val="en-US" w:eastAsia="en-US" w:bidi="ar-SA"/>
              </w:rPr>
              <w:t>for</w:t>
            </w:r>
            <w:r w:rsidR="00614117">
              <w:rPr>
                <w:sz w:val="22"/>
                <w:szCs w:val="22"/>
                <w:lang w:val="en-US" w:eastAsia="en-US" w:bidi="ar-SA"/>
              </w:rPr>
              <w:t xml:space="preserve"> nearly 20 years.</w:t>
            </w:r>
          </w:p>
          <w:p w:rsidR="00614117" w:rsidP="00040127" w14:paraId="05427CA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14117" w:rsidP="00040127" w14:paraId="62B3D207" w14:textId="624D440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Following detailed legal</w:t>
            </w:r>
            <w:r w:rsidR="00E17555">
              <w:rPr>
                <w:sz w:val="22"/>
                <w:szCs w:val="22"/>
                <w:lang w:val="en-US" w:eastAsia="en-US" w:bidi="ar-SA"/>
              </w:rPr>
              <w:t xml:space="preserve"> and economic</w:t>
            </w:r>
            <w:r w:rsidR="00E34E6F">
              <w:rPr>
                <w:sz w:val="22"/>
                <w:szCs w:val="22"/>
                <w:lang w:val="en-US" w:eastAsia="en-US" w:bidi="ar-SA"/>
              </w:rPr>
              <w:t xml:space="preserve"> analysis</w:t>
            </w:r>
            <w:r w:rsidR="003E0EF4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E17555">
              <w:rPr>
                <w:sz w:val="22"/>
                <w:szCs w:val="22"/>
                <w:lang w:val="en-US" w:eastAsia="en-US" w:bidi="ar-SA"/>
              </w:rPr>
              <w:t xml:space="preserve">as well as extensive </w:t>
            </w:r>
            <w:r w:rsidR="003E0EF4">
              <w:rPr>
                <w:sz w:val="22"/>
                <w:szCs w:val="22"/>
                <w:lang w:val="en-US" w:eastAsia="en-US" w:bidi="ar-SA"/>
              </w:rPr>
              <w:t xml:space="preserve">examination of comments from consumers and stakeholders, </w:t>
            </w:r>
            <w:r w:rsidR="004E0A39">
              <w:rPr>
                <w:sz w:val="22"/>
                <w:szCs w:val="22"/>
                <w:lang w:val="en-US" w:eastAsia="en-US" w:bidi="ar-SA"/>
              </w:rPr>
              <w:t>t</w:t>
            </w:r>
            <w:r>
              <w:rPr>
                <w:sz w:val="22"/>
                <w:szCs w:val="22"/>
                <w:lang w:val="en-US" w:eastAsia="en-US" w:bidi="ar-SA"/>
              </w:rPr>
              <w:t xml:space="preserve">he Commission </w:t>
            </w:r>
            <w:r w:rsidR="004E03A4">
              <w:rPr>
                <w:sz w:val="22"/>
                <w:szCs w:val="22"/>
                <w:lang w:val="en-US" w:eastAsia="en-US" w:bidi="ar-SA"/>
              </w:rPr>
              <w:t xml:space="preserve">reversed </w:t>
            </w:r>
            <w:r w:rsidR="00421A68">
              <w:rPr>
                <w:sz w:val="22"/>
                <w:szCs w:val="22"/>
                <w:lang w:val="en-US" w:eastAsia="en-US" w:bidi="ar-SA"/>
              </w:rPr>
              <w:t>the FCC’s</w:t>
            </w:r>
            <w:r w:rsidR="00700E56">
              <w:rPr>
                <w:sz w:val="22"/>
                <w:szCs w:val="22"/>
                <w:lang w:val="en-US" w:eastAsia="en-US" w:bidi="ar-SA"/>
              </w:rPr>
              <w:t xml:space="preserve"> 2015</w:t>
            </w:r>
            <w:r w:rsidR="00421A68">
              <w:rPr>
                <w:sz w:val="22"/>
                <w:szCs w:val="22"/>
                <w:lang w:val="en-US" w:eastAsia="en-US" w:bidi="ar-SA"/>
              </w:rPr>
              <w:t xml:space="preserve"> heavy-handed u</w:t>
            </w:r>
            <w:r w:rsidR="00A30072">
              <w:rPr>
                <w:sz w:val="22"/>
                <w:szCs w:val="22"/>
                <w:lang w:val="en-US" w:eastAsia="en-US" w:bidi="ar-SA"/>
              </w:rPr>
              <w:t>tility</w:t>
            </w:r>
            <w:r w:rsidR="00421A68">
              <w:rPr>
                <w:sz w:val="22"/>
                <w:szCs w:val="22"/>
                <w:lang w:val="en-US" w:eastAsia="en-US" w:bidi="ar-SA"/>
              </w:rPr>
              <w:t>-style regulation of broadband Internet access service, whi</w:t>
            </w:r>
            <w:r w:rsidR="00CC2344">
              <w:rPr>
                <w:sz w:val="22"/>
                <w:szCs w:val="22"/>
                <w:lang w:val="en-US" w:eastAsia="en-US" w:bidi="ar-SA"/>
              </w:rPr>
              <w:t xml:space="preserve">ch </w:t>
            </w:r>
            <w:r w:rsidR="002B3D41">
              <w:rPr>
                <w:sz w:val="22"/>
                <w:szCs w:val="22"/>
                <w:lang w:val="en-US" w:eastAsia="en-US" w:bidi="ar-SA"/>
              </w:rPr>
              <w:t xml:space="preserve">imposed substantial costs on the </w:t>
            </w:r>
            <w:r w:rsidR="00DE3CA4">
              <w:rPr>
                <w:sz w:val="22"/>
                <w:szCs w:val="22"/>
                <w:lang w:val="en-US" w:eastAsia="en-US" w:bidi="ar-SA"/>
              </w:rPr>
              <w:t xml:space="preserve">entire </w:t>
            </w:r>
            <w:r w:rsidR="002B3D41">
              <w:rPr>
                <w:sz w:val="22"/>
                <w:szCs w:val="22"/>
                <w:lang w:val="en-US" w:eastAsia="en-US" w:bidi="ar-SA"/>
              </w:rPr>
              <w:t xml:space="preserve">Internet ecosystem. </w:t>
            </w:r>
          </w:p>
          <w:p w:rsidR="002B3D41" w:rsidP="00040127" w14:paraId="278D3075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A6171" w:rsidP="00040127" w14:paraId="6E88D124" w14:textId="501B3BB4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In place of </w:t>
            </w:r>
            <w:r w:rsidR="00700E56">
              <w:rPr>
                <w:sz w:val="22"/>
                <w:szCs w:val="22"/>
                <w:lang w:val="en-US" w:eastAsia="en-US" w:bidi="ar-SA"/>
              </w:rPr>
              <w:t>th</w:t>
            </w:r>
            <w:r w:rsidR="00D245F0">
              <w:rPr>
                <w:sz w:val="22"/>
                <w:szCs w:val="22"/>
                <w:lang w:val="en-US" w:eastAsia="en-US" w:bidi="ar-SA"/>
              </w:rPr>
              <w:t>at</w:t>
            </w:r>
            <w:r w:rsidR="00700E56">
              <w:rPr>
                <w:sz w:val="22"/>
                <w:szCs w:val="22"/>
                <w:lang w:val="en-US" w:eastAsia="en-US" w:bidi="ar-SA"/>
              </w:rPr>
              <w:t xml:space="preserve"> heavy-handed framework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210A01">
              <w:rPr>
                <w:sz w:val="22"/>
                <w:szCs w:val="22"/>
                <w:lang w:val="en-US" w:eastAsia="en-US" w:bidi="ar-SA"/>
              </w:rPr>
              <w:t xml:space="preserve">the FCC </w:t>
            </w:r>
            <w:r w:rsidR="00D245F0">
              <w:rPr>
                <w:sz w:val="22"/>
                <w:szCs w:val="22"/>
                <w:lang w:val="en-US" w:eastAsia="en-US" w:bidi="ar-SA"/>
              </w:rPr>
              <w:t>is returning to</w:t>
            </w:r>
            <w:r w:rsidR="00700E5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210A01">
              <w:rPr>
                <w:sz w:val="22"/>
                <w:szCs w:val="22"/>
                <w:lang w:val="en-US" w:eastAsia="en-US" w:bidi="ar-SA"/>
              </w:rPr>
              <w:t>t</w:t>
            </w:r>
            <w:r>
              <w:rPr>
                <w:sz w:val="22"/>
                <w:szCs w:val="22"/>
                <w:lang w:val="en-US" w:eastAsia="en-US" w:bidi="ar-SA"/>
              </w:rPr>
              <w:t xml:space="preserve">he </w:t>
            </w:r>
            <w:r w:rsidR="00210A01">
              <w:rPr>
                <w:sz w:val="22"/>
                <w:szCs w:val="22"/>
                <w:lang w:val="en-US" w:eastAsia="en-US" w:bidi="ar-SA"/>
              </w:rPr>
              <w:t xml:space="preserve">traditional </w:t>
            </w:r>
            <w:r>
              <w:rPr>
                <w:sz w:val="22"/>
                <w:szCs w:val="22"/>
                <w:lang w:val="en-US" w:eastAsia="en-US" w:bidi="ar-SA"/>
              </w:rPr>
              <w:t xml:space="preserve">light-touch </w:t>
            </w:r>
            <w:r w:rsidR="00210A01">
              <w:rPr>
                <w:sz w:val="22"/>
                <w:szCs w:val="22"/>
                <w:lang w:val="en-US" w:eastAsia="en-US" w:bidi="ar-SA"/>
              </w:rPr>
              <w:t>framework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A3D46">
              <w:rPr>
                <w:sz w:val="22"/>
                <w:szCs w:val="22"/>
                <w:lang w:val="en-US" w:eastAsia="en-US" w:bidi="ar-SA"/>
              </w:rPr>
              <w:t>that was in place until 2015.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245F0">
              <w:rPr>
                <w:sz w:val="22"/>
                <w:szCs w:val="22"/>
                <w:lang w:val="en-US" w:eastAsia="en-US" w:bidi="ar-SA"/>
              </w:rPr>
              <w:t xml:space="preserve"> Moreover,</w:t>
            </w:r>
            <w:r>
              <w:rPr>
                <w:sz w:val="22"/>
                <w:szCs w:val="22"/>
                <w:lang w:val="en-US" w:eastAsia="en-US" w:bidi="ar-SA"/>
              </w:rPr>
              <w:t xml:space="preserve"> the FCC </w:t>
            </w:r>
            <w:r w:rsidR="00D245F0">
              <w:rPr>
                <w:sz w:val="22"/>
                <w:szCs w:val="22"/>
                <w:lang w:val="en-US" w:eastAsia="en-US" w:bidi="ar-SA"/>
              </w:rPr>
              <w:t>today also adopted</w:t>
            </w:r>
            <w:r w:rsidR="005272FB">
              <w:rPr>
                <w:sz w:val="22"/>
                <w:szCs w:val="22"/>
                <w:lang w:val="en-US" w:eastAsia="en-US" w:bidi="ar-SA"/>
              </w:rPr>
              <w:t xml:space="preserve"> robust </w:t>
            </w:r>
            <w:r w:rsidR="00E34E6F">
              <w:rPr>
                <w:sz w:val="22"/>
                <w:szCs w:val="22"/>
                <w:lang w:val="en-US" w:eastAsia="en-US" w:bidi="ar-SA"/>
              </w:rPr>
              <w:t>t</w:t>
            </w:r>
            <w:r w:rsidR="00DE3CA4">
              <w:rPr>
                <w:sz w:val="22"/>
                <w:szCs w:val="22"/>
                <w:lang w:val="en-US" w:eastAsia="en-US" w:bidi="ar-SA"/>
              </w:rPr>
              <w:t>ransparency requirements</w:t>
            </w:r>
            <w:r w:rsidR="009D2A0B">
              <w:rPr>
                <w:sz w:val="22"/>
                <w:szCs w:val="22"/>
                <w:lang w:val="en-US" w:eastAsia="en-US" w:bidi="ar-SA"/>
              </w:rPr>
              <w:t xml:space="preserve"> that will</w:t>
            </w:r>
            <w:r w:rsidR="00806255">
              <w:rPr>
                <w:sz w:val="22"/>
                <w:szCs w:val="22"/>
                <w:lang w:val="en-US" w:eastAsia="en-US" w:bidi="ar-SA"/>
              </w:rPr>
              <w:t xml:space="preserve"> empower</w:t>
            </w:r>
            <w:r w:rsidR="002B3D41">
              <w:rPr>
                <w:sz w:val="22"/>
                <w:szCs w:val="22"/>
                <w:lang w:val="en-US" w:eastAsia="en-US" w:bidi="ar-SA"/>
              </w:rPr>
              <w:t xml:space="preserve"> consumers</w:t>
            </w:r>
            <w:r w:rsidR="00D245F0">
              <w:rPr>
                <w:sz w:val="22"/>
                <w:szCs w:val="22"/>
                <w:lang w:val="en-US" w:eastAsia="en-US" w:bidi="ar-SA"/>
              </w:rPr>
              <w:t xml:space="preserve"> as well as facilitate </w:t>
            </w:r>
            <w:r>
              <w:rPr>
                <w:sz w:val="22"/>
                <w:szCs w:val="22"/>
                <w:lang w:val="en-US" w:eastAsia="en-US" w:bidi="ar-SA"/>
              </w:rPr>
              <w:t xml:space="preserve">effective government </w:t>
            </w:r>
            <w:r w:rsidR="002D35D2">
              <w:rPr>
                <w:sz w:val="22"/>
                <w:szCs w:val="22"/>
                <w:lang w:val="en-US" w:eastAsia="en-US" w:bidi="ar-SA"/>
              </w:rPr>
              <w:t>oversight</w:t>
            </w:r>
            <w:r w:rsidR="00210A0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245F0">
              <w:rPr>
                <w:sz w:val="22"/>
                <w:szCs w:val="22"/>
                <w:lang w:val="en-US" w:eastAsia="en-US" w:bidi="ar-SA"/>
              </w:rPr>
              <w:t xml:space="preserve">of broadband providers’ conduct.  In particular, the FCC’s action today has restored the jurisdiction of the Federal Trade Commission to </w:t>
            </w:r>
            <w:r w:rsidR="00B272F1">
              <w:rPr>
                <w:sz w:val="22"/>
                <w:szCs w:val="22"/>
                <w:lang w:val="en-US" w:eastAsia="en-US" w:bidi="ar-SA"/>
              </w:rPr>
              <w:t>act</w:t>
            </w:r>
            <w:r w:rsidR="00D245F0">
              <w:rPr>
                <w:sz w:val="22"/>
                <w:szCs w:val="22"/>
                <w:lang w:val="en-US" w:eastAsia="en-US" w:bidi="ar-SA"/>
              </w:rPr>
              <w:t xml:space="preserve"> when broadband providers engage in anticompetitive, unfair, or deceptive acts or practices.    </w:t>
            </w:r>
            <w:r w:rsidR="00210A01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3A6171" w:rsidP="00040127" w14:paraId="11CC4DB7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57804" w:rsidP="00040127" w14:paraId="65CE0DDD" w14:textId="38C76A8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 framework adopted by the Commission today will protect consumers at far less cost to investment than the prior rigid and wide-ra</w:t>
            </w:r>
            <w:r w:rsidR="00030BF6">
              <w:rPr>
                <w:sz w:val="22"/>
                <w:szCs w:val="22"/>
                <w:lang w:val="en-US" w:eastAsia="en-US" w:bidi="ar-SA"/>
              </w:rPr>
              <w:t>n</w:t>
            </w:r>
            <w:r>
              <w:rPr>
                <w:sz w:val="22"/>
                <w:szCs w:val="22"/>
                <w:lang w:val="en-US" w:eastAsia="en-US" w:bidi="ar-SA"/>
              </w:rPr>
              <w:t>ging utility rules.  And r</w:t>
            </w:r>
            <w:r w:rsidR="003E4D89">
              <w:rPr>
                <w:sz w:val="22"/>
                <w:szCs w:val="22"/>
                <w:lang w:val="en-US" w:eastAsia="en-US" w:bidi="ar-SA"/>
              </w:rPr>
              <w:t xml:space="preserve">estoring </w:t>
            </w:r>
            <w:r w:rsidR="00700E56">
              <w:rPr>
                <w:sz w:val="22"/>
                <w:szCs w:val="22"/>
                <w:lang w:val="en-US" w:eastAsia="en-US" w:bidi="ar-SA"/>
              </w:rPr>
              <w:t xml:space="preserve">a favorable </w:t>
            </w:r>
            <w:r w:rsidR="003E4D89">
              <w:rPr>
                <w:sz w:val="22"/>
                <w:szCs w:val="22"/>
                <w:lang w:val="en-US" w:eastAsia="en-US" w:bidi="ar-SA"/>
              </w:rPr>
              <w:t xml:space="preserve">climate for </w:t>
            </w:r>
            <w:r w:rsidR="00700E56">
              <w:rPr>
                <w:sz w:val="22"/>
                <w:szCs w:val="22"/>
                <w:lang w:val="en-US" w:eastAsia="en-US" w:bidi="ar-SA"/>
              </w:rPr>
              <w:t>network investment</w:t>
            </w:r>
            <w:r w:rsidR="00EA0454">
              <w:rPr>
                <w:sz w:val="22"/>
                <w:szCs w:val="22"/>
                <w:lang w:val="en-US" w:eastAsia="en-US" w:bidi="ar-SA"/>
              </w:rPr>
              <w:t xml:space="preserve"> i</w:t>
            </w:r>
            <w:r w:rsidR="003E4D89">
              <w:rPr>
                <w:sz w:val="22"/>
                <w:szCs w:val="22"/>
                <w:lang w:val="en-US" w:eastAsia="en-US" w:bidi="ar-SA"/>
              </w:rPr>
              <w:t xml:space="preserve">s key to closing the digital divide, spurring </w:t>
            </w:r>
            <w:r w:rsidR="001176B8">
              <w:rPr>
                <w:sz w:val="22"/>
                <w:szCs w:val="22"/>
                <w:lang w:val="en-US" w:eastAsia="en-US" w:bidi="ar-SA"/>
              </w:rPr>
              <w:t xml:space="preserve">competition </w:t>
            </w:r>
            <w:r w:rsidR="003E4D89">
              <w:rPr>
                <w:sz w:val="22"/>
                <w:szCs w:val="22"/>
                <w:lang w:val="en-US" w:eastAsia="en-US" w:bidi="ar-SA"/>
              </w:rPr>
              <w:t>and innova</w:t>
            </w:r>
            <w:r w:rsidR="00EA0454">
              <w:rPr>
                <w:sz w:val="22"/>
                <w:szCs w:val="22"/>
                <w:lang w:val="en-US" w:eastAsia="en-US" w:bidi="ar-SA"/>
              </w:rPr>
              <w:t>tion that</w:t>
            </w:r>
            <w:r w:rsidR="00E17555">
              <w:rPr>
                <w:sz w:val="22"/>
                <w:szCs w:val="22"/>
                <w:lang w:val="en-US" w:eastAsia="en-US" w:bidi="ar-SA"/>
              </w:rPr>
              <w:t xml:space="preserve"> benefits consumers.</w:t>
            </w:r>
            <w:r w:rsidR="00EA045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30BF6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The Declaratory Ruling, Report and Order, and Order adopted by the Commission takes the following steps</w:t>
            </w:r>
            <w:r w:rsidR="003E0EF4">
              <w:rPr>
                <w:sz w:val="22"/>
                <w:szCs w:val="22"/>
                <w:lang w:val="en-US" w:eastAsia="en-US" w:bidi="ar-SA"/>
              </w:rPr>
              <w:t xml:space="preserve"> to </w:t>
            </w:r>
            <w:r w:rsidR="00150F97">
              <w:rPr>
                <w:sz w:val="22"/>
                <w:szCs w:val="22"/>
                <w:lang w:val="en-US" w:eastAsia="en-US" w:bidi="ar-SA"/>
              </w:rPr>
              <w:t>achieve these goals:</w:t>
            </w:r>
          </w:p>
          <w:p w:rsidR="003E4D89" w:rsidP="00040127" w14:paraId="2CF6D3D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E4D89" w:rsidP="00040127" w14:paraId="1428CE6C" w14:textId="08EFCD5F">
            <w:pPr>
              <w:tabs>
                <w:tab w:val="left" w:pos="8640"/>
              </w:tabs>
              <w:rPr>
                <w:rStyle w:val="DefaultParagraphFont"/>
                <w:b/>
                <w:i/>
                <w:sz w:val="22"/>
                <w:szCs w:val="22"/>
                <w:u w:val="single"/>
                <w:lang w:val="en-US" w:eastAsia="en-US" w:bidi="ar-SA"/>
              </w:rPr>
            </w:pPr>
            <w:r w:rsidRPr="003E4D89">
              <w:rPr>
                <w:b/>
                <w:i/>
                <w:sz w:val="22"/>
                <w:szCs w:val="22"/>
                <w:u w:val="single"/>
                <w:lang w:val="en-US" w:eastAsia="en-US" w:bidi="ar-SA"/>
              </w:rPr>
              <w:t>Declaratory Ruling</w:t>
            </w:r>
          </w:p>
          <w:p w:rsidR="00D245F0" w:rsidP="00040127" w14:paraId="72A668AF" w14:textId="77777777">
            <w:pPr>
              <w:tabs>
                <w:tab w:val="left" w:pos="8640"/>
              </w:tabs>
              <w:rPr>
                <w:rStyle w:val="DefaultParagraphFont"/>
                <w:b/>
                <w:i/>
                <w:sz w:val="22"/>
                <w:szCs w:val="22"/>
                <w:u w:val="single"/>
                <w:lang w:val="en-US" w:eastAsia="en-US" w:bidi="ar-SA"/>
              </w:rPr>
            </w:pPr>
          </w:p>
          <w:p w:rsidR="009A769A" w:rsidP="003E4D89" w14:paraId="7C83C25F" w14:textId="50EE09C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Restores the c</w:t>
            </w:r>
            <w:r w:rsidRPr="003E4D89" w:rsidR="003E4D89">
              <w:rPr>
                <w:sz w:val="22"/>
                <w:szCs w:val="22"/>
                <w:lang w:val="en-US" w:eastAsia="en-US" w:bidi="ar-SA"/>
              </w:rPr>
              <w:t>lassification of broadband Internet access service as an “information service”</w:t>
            </w:r>
            <w:r>
              <w:rPr>
                <w:sz w:val="22"/>
                <w:szCs w:val="22"/>
                <w:lang w:val="en-US" w:eastAsia="en-US" w:bidi="ar-SA"/>
              </w:rPr>
              <w:t xml:space="preserve"> under Title I of the Communications Act</w:t>
            </w:r>
            <w:r w:rsidRPr="003E4D89" w:rsidR="003E4D89">
              <w:rPr>
                <w:sz w:val="22"/>
                <w:szCs w:val="22"/>
                <w:lang w:val="en-US" w:eastAsia="en-US" w:bidi="ar-SA"/>
              </w:rPr>
              <w:t xml:space="preserve">—the classification affirmed by the Supreme Court in the </w:t>
            </w:r>
            <w:r>
              <w:rPr>
                <w:sz w:val="22"/>
                <w:szCs w:val="22"/>
                <w:lang w:val="en-US" w:eastAsia="en-US" w:bidi="ar-SA"/>
              </w:rPr>
              <w:t xml:space="preserve">2005 </w:t>
            </w:r>
            <w:r w:rsidRPr="00C97380" w:rsidR="003E4D89">
              <w:rPr>
                <w:i/>
                <w:sz w:val="22"/>
                <w:szCs w:val="22"/>
                <w:lang w:val="en-US" w:eastAsia="en-US" w:bidi="ar-SA"/>
              </w:rPr>
              <w:t>Brand X</w:t>
            </w:r>
            <w:r w:rsidRPr="003E4D89" w:rsidR="003E4D89">
              <w:rPr>
                <w:sz w:val="22"/>
                <w:szCs w:val="22"/>
                <w:lang w:val="en-US" w:eastAsia="en-US" w:bidi="ar-SA"/>
              </w:rPr>
              <w:t xml:space="preserve"> case.  </w:t>
            </w:r>
          </w:p>
          <w:p w:rsidR="009A769A" w:rsidP="003E4D89" w14:paraId="65C4BF1B" w14:textId="2F3B837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E4D89">
              <w:rPr>
                <w:sz w:val="22"/>
                <w:szCs w:val="22"/>
                <w:lang w:val="en-US" w:eastAsia="en-US" w:bidi="ar-SA"/>
              </w:rPr>
              <w:t>Reinstate</w:t>
            </w:r>
            <w:r>
              <w:rPr>
                <w:sz w:val="22"/>
                <w:szCs w:val="22"/>
                <w:lang w:val="en-US" w:eastAsia="en-US" w:bidi="ar-SA"/>
              </w:rPr>
              <w:t xml:space="preserve">s the classification of </w:t>
            </w:r>
            <w:r w:rsidRPr="003E4D89">
              <w:rPr>
                <w:sz w:val="22"/>
                <w:szCs w:val="22"/>
                <w:lang w:val="en-US" w:eastAsia="en-US" w:bidi="ar-SA"/>
              </w:rPr>
              <w:t>mobile broadband Internet access service</w:t>
            </w:r>
            <w:r>
              <w:rPr>
                <w:sz w:val="22"/>
                <w:szCs w:val="22"/>
                <w:lang w:val="en-US" w:eastAsia="en-US" w:bidi="ar-SA"/>
              </w:rPr>
              <w:t xml:space="preserve"> as </w:t>
            </w:r>
            <w:r w:rsidR="0093357E">
              <w:rPr>
                <w:sz w:val="22"/>
                <w:szCs w:val="22"/>
                <w:lang w:val="en-US" w:eastAsia="en-US" w:bidi="ar-SA"/>
              </w:rPr>
              <w:t>a private</w:t>
            </w:r>
            <w:r>
              <w:rPr>
                <w:sz w:val="22"/>
                <w:szCs w:val="22"/>
                <w:lang w:val="en-US" w:eastAsia="en-US" w:bidi="ar-SA"/>
              </w:rPr>
              <w:t xml:space="preserve"> mobile service</w:t>
            </w:r>
            <w:r w:rsidR="002E637D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D511BC" w:rsidP="00A95989" w14:paraId="571CDC4B" w14:textId="32E19A64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Finds that the regulatory uncertainty created by utility-style </w:t>
            </w:r>
            <w:r w:rsidR="00BD287F">
              <w:rPr>
                <w:sz w:val="22"/>
                <w:szCs w:val="22"/>
                <w:lang w:val="en-US" w:eastAsia="en-US" w:bidi="ar-SA"/>
              </w:rPr>
              <w:t xml:space="preserve">Title II </w:t>
            </w:r>
            <w:r w:rsidR="009A769A">
              <w:rPr>
                <w:sz w:val="22"/>
                <w:szCs w:val="22"/>
                <w:lang w:val="en-US" w:eastAsia="en-US" w:bidi="ar-SA"/>
              </w:rPr>
              <w:t>regulation</w:t>
            </w:r>
            <w:r w:rsidR="00BD287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95989">
              <w:rPr>
                <w:sz w:val="22"/>
                <w:szCs w:val="22"/>
                <w:lang w:val="en-US" w:eastAsia="en-US" w:bidi="ar-SA"/>
              </w:rPr>
              <w:t xml:space="preserve">has reduced </w:t>
            </w:r>
            <w:r w:rsidR="00AC31E1">
              <w:rPr>
                <w:sz w:val="22"/>
                <w:szCs w:val="22"/>
                <w:lang w:val="en-US" w:eastAsia="en-US" w:bidi="ar-SA"/>
              </w:rPr>
              <w:t>Internet service provider (</w:t>
            </w:r>
            <w:r w:rsidR="00A95989">
              <w:rPr>
                <w:sz w:val="22"/>
                <w:szCs w:val="22"/>
                <w:lang w:val="en-US" w:eastAsia="en-US" w:bidi="ar-SA"/>
              </w:rPr>
              <w:t>ISP</w:t>
            </w:r>
            <w:r w:rsidR="00AC31E1">
              <w:rPr>
                <w:sz w:val="22"/>
                <w:szCs w:val="22"/>
                <w:lang w:val="en-US" w:eastAsia="en-US" w:bidi="ar-SA"/>
              </w:rPr>
              <w:t>)</w:t>
            </w:r>
            <w:r w:rsidR="00A95989">
              <w:rPr>
                <w:sz w:val="22"/>
                <w:szCs w:val="22"/>
                <w:lang w:val="en-US" w:eastAsia="en-US" w:bidi="ar-SA"/>
              </w:rPr>
              <w:t xml:space="preserve"> investment in networks, as well as hampered innovation, particularly among small ISPs serving rural consumers</w:t>
            </w:r>
            <w:r w:rsidR="002E637D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BD287F" w:rsidRPr="00C97380" w:rsidP="00D511BC" w14:paraId="1C87512F" w14:textId="1DE9533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97380">
              <w:rPr>
                <w:sz w:val="22"/>
                <w:szCs w:val="22"/>
                <w:lang w:val="en-US" w:eastAsia="en-US" w:bidi="ar-SA"/>
              </w:rPr>
              <w:t>Finds that public policy, in addition to legal analysis, supports the information service classification</w:t>
            </w:r>
            <w:r w:rsidR="00D511BC">
              <w:rPr>
                <w:sz w:val="22"/>
                <w:szCs w:val="22"/>
                <w:lang w:val="en-US" w:eastAsia="en-US" w:bidi="ar-SA"/>
              </w:rPr>
              <w:t xml:space="preserve">, because </w:t>
            </w:r>
            <w:r w:rsidRPr="00C97380">
              <w:rPr>
                <w:sz w:val="22"/>
                <w:szCs w:val="22"/>
                <w:lang w:val="en-US" w:eastAsia="en-US" w:bidi="ar-SA"/>
              </w:rPr>
              <w:t xml:space="preserve">it is more likely to encourage broadband investment and innovation, </w:t>
            </w:r>
            <w:r w:rsidR="00D511BC">
              <w:rPr>
                <w:sz w:val="22"/>
                <w:szCs w:val="22"/>
                <w:lang w:val="en-US" w:eastAsia="en-US" w:bidi="ar-SA"/>
              </w:rPr>
              <w:t xml:space="preserve">thereby </w:t>
            </w:r>
            <w:r w:rsidRPr="00C97380">
              <w:rPr>
                <w:sz w:val="22"/>
                <w:szCs w:val="22"/>
                <w:lang w:val="en-US" w:eastAsia="en-US" w:bidi="ar-SA"/>
              </w:rPr>
              <w:t>further</w:t>
            </w:r>
            <w:r w:rsidR="00D511BC">
              <w:rPr>
                <w:sz w:val="22"/>
                <w:szCs w:val="22"/>
                <w:lang w:val="en-US" w:eastAsia="en-US" w:bidi="ar-SA"/>
              </w:rPr>
              <w:t>ing</w:t>
            </w:r>
            <w:r w:rsidRPr="00C97380">
              <w:rPr>
                <w:sz w:val="22"/>
                <w:szCs w:val="22"/>
                <w:lang w:val="en-US" w:eastAsia="en-US" w:bidi="ar-SA"/>
              </w:rPr>
              <w:t xml:space="preserve"> the goal of closing the digital divide and benefitting the entire Internet ecosystem.</w:t>
            </w:r>
          </w:p>
          <w:p w:rsidR="00A95989" w:rsidP="00A95989" w14:paraId="1F7BA4A2" w14:textId="7DE4EE02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Restores </w:t>
            </w:r>
            <w:r w:rsidR="009C37DB">
              <w:rPr>
                <w:sz w:val="22"/>
                <w:szCs w:val="22"/>
                <w:lang w:val="en-US" w:eastAsia="en-US" w:bidi="ar-SA"/>
              </w:rPr>
              <w:t>broadband consumer</w:t>
            </w:r>
            <w:r>
              <w:rPr>
                <w:sz w:val="22"/>
                <w:szCs w:val="22"/>
                <w:lang w:val="en-US" w:eastAsia="en-US" w:bidi="ar-SA"/>
              </w:rPr>
              <w:t xml:space="preserve"> protection</w:t>
            </w:r>
            <w:r w:rsidR="00D245F0">
              <w:rPr>
                <w:sz w:val="22"/>
                <w:szCs w:val="22"/>
                <w:lang w:val="en-US" w:eastAsia="en-US" w:bidi="ar-SA"/>
              </w:rPr>
              <w:t xml:space="preserve"> authority</w:t>
            </w:r>
            <w:r>
              <w:rPr>
                <w:sz w:val="22"/>
                <w:szCs w:val="22"/>
                <w:lang w:val="en-US" w:eastAsia="en-US" w:bidi="ar-SA"/>
              </w:rPr>
              <w:t xml:space="preserve"> to the Federal Trade Commission</w:t>
            </w:r>
            <w:r w:rsidR="00AC31E1">
              <w:rPr>
                <w:sz w:val="22"/>
                <w:szCs w:val="22"/>
                <w:lang w:val="en-US" w:eastAsia="en-US" w:bidi="ar-SA"/>
              </w:rPr>
              <w:t xml:space="preserve"> (FTC)</w:t>
            </w:r>
            <w:r>
              <w:rPr>
                <w:sz w:val="22"/>
                <w:szCs w:val="22"/>
                <w:lang w:val="en-US" w:eastAsia="en-US" w:bidi="ar-SA"/>
              </w:rPr>
              <w:t>, enabling it to apply its extensive expertise to provide uniform online protections</w:t>
            </w:r>
            <w:r w:rsidR="00383F19">
              <w:rPr>
                <w:sz w:val="22"/>
                <w:szCs w:val="22"/>
                <w:lang w:val="en-US" w:eastAsia="en-US" w:bidi="ar-SA"/>
              </w:rPr>
              <w:t xml:space="preserve"> against</w:t>
            </w:r>
            <w:r w:rsidRPr="00AC31E1" w:rsidR="004B2591">
              <w:rPr>
                <w:sz w:val="22"/>
                <w:szCs w:val="22"/>
                <w:lang w:val="en-US" w:eastAsia="en-US" w:bidi="ar-SA"/>
              </w:rPr>
              <w:t xml:space="preserve"> unfair, deceptive, and anticompetitive practices</w:t>
            </w:r>
            <w:r w:rsidR="004B2591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AC31E1" w:rsidRPr="00AC31E1" w:rsidP="00AC31E1" w14:paraId="65679D50" w14:textId="77777777">
            <w:pPr>
              <w:tabs>
                <w:tab w:val="left" w:pos="8640"/>
              </w:tabs>
              <w:rPr>
                <w:rStyle w:val="DefaultParagraphFont"/>
                <w:b/>
                <w:sz w:val="22"/>
                <w:szCs w:val="22"/>
                <w:u w:val="single"/>
                <w:lang w:val="en-US" w:eastAsia="en-US" w:bidi="ar-SA"/>
              </w:rPr>
            </w:pPr>
          </w:p>
          <w:p w:rsidR="00AC31E1" w:rsidP="00AC31E1" w14:paraId="530AE452" w14:textId="4106B750">
            <w:pPr>
              <w:tabs>
                <w:tab w:val="left" w:pos="8640"/>
              </w:tabs>
              <w:rPr>
                <w:rStyle w:val="DefaultParagraphFont"/>
                <w:b/>
                <w:i/>
                <w:sz w:val="22"/>
                <w:szCs w:val="22"/>
                <w:u w:val="single"/>
                <w:lang w:val="en-US" w:eastAsia="en-US" w:bidi="ar-SA"/>
              </w:rPr>
            </w:pPr>
            <w:r w:rsidRPr="00610669">
              <w:rPr>
                <w:b/>
                <w:i/>
                <w:sz w:val="22"/>
                <w:szCs w:val="22"/>
                <w:u w:val="single"/>
                <w:lang w:val="en-US" w:eastAsia="en-US" w:bidi="ar-SA"/>
              </w:rPr>
              <w:t>Report and Order</w:t>
            </w:r>
          </w:p>
          <w:p w:rsidR="00D245F0" w:rsidRPr="00610669" w:rsidP="00AC31E1" w14:paraId="39B340AB" w14:textId="77777777">
            <w:pPr>
              <w:tabs>
                <w:tab w:val="left" w:pos="8640"/>
              </w:tabs>
              <w:rPr>
                <w:rStyle w:val="DefaultParagraphFont"/>
                <w:b/>
                <w:i/>
                <w:sz w:val="22"/>
                <w:szCs w:val="22"/>
                <w:u w:val="single"/>
                <w:lang w:val="en-US" w:eastAsia="en-US" w:bidi="ar-SA"/>
              </w:rPr>
            </w:pPr>
          </w:p>
          <w:p w:rsidR="00AC31E1" w:rsidP="00AC31E1" w14:paraId="63E60AF5" w14:textId="528BCD45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Requires that </w:t>
            </w:r>
            <w:r w:rsidRPr="00AC31E1">
              <w:rPr>
                <w:sz w:val="22"/>
                <w:szCs w:val="22"/>
                <w:lang w:val="en-US" w:eastAsia="en-US" w:bidi="ar-SA"/>
              </w:rPr>
              <w:t>ISPs disclose information about their practices to consumers, en</w:t>
            </w:r>
            <w:r>
              <w:rPr>
                <w:sz w:val="22"/>
                <w:szCs w:val="22"/>
                <w:lang w:val="en-US" w:eastAsia="en-US" w:bidi="ar-SA"/>
              </w:rPr>
              <w:t>trepreneurs, and the Commission, including any blocking, throttling</w:t>
            </w:r>
            <w:r w:rsidR="00383F19">
              <w:rPr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sz w:val="22"/>
                <w:szCs w:val="22"/>
                <w:lang w:val="en-US" w:eastAsia="en-US" w:bidi="ar-SA"/>
              </w:rPr>
              <w:t>paid prioritization</w:t>
            </w:r>
            <w:r w:rsidR="00383F19">
              <w:rPr>
                <w:sz w:val="22"/>
                <w:szCs w:val="22"/>
                <w:lang w:val="en-US" w:eastAsia="en-US" w:bidi="ar-SA"/>
              </w:rPr>
              <w:t>, or affiliated prioritization</w:t>
            </w:r>
            <w:r w:rsidR="002E637D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360EF8" w:rsidP="00360EF8" w14:paraId="0B3F4BCC" w14:textId="36912305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Finds that transparency, combined with market forces as well as antitrust and consumer protection law</w:t>
            </w:r>
            <w:r w:rsidR="00FC3F45">
              <w:rPr>
                <w:sz w:val="22"/>
                <w:szCs w:val="22"/>
                <w:lang w:val="en-US" w:eastAsia="en-US" w:bidi="ar-SA"/>
              </w:rPr>
              <w:t>s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AC31E1">
              <w:rPr>
                <w:sz w:val="22"/>
                <w:szCs w:val="22"/>
                <w:lang w:val="en-US" w:eastAsia="en-US" w:bidi="ar-SA"/>
              </w:rPr>
              <w:t>achiev</w:t>
            </w:r>
            <w:r>
              <w:rPr>
                <w:sz w:val="22"/>
                <w:szCs w:val="22"/>
                <w:lang w:val="en-US" w:eastAsia="en-US" w:bidi="ar-SA"/>
              </w:rPr>
              <w:t>e</w:t>
            </w:r>
            <w:r w:rsidRPr="00AC31E1">
              <w:rPr>
                <w:sz w:val="22"/>
                <w:szCs w:val="22"/>
                <w:lang w:val="en-US" w:eastAsia="en-US" w:bidi="ar-SA"/>
              </w:rPr>
              <w:t xml:space="preserve"> benefits </w:t>
            </w:r>
            <w:r w:rsidR="002E026B">
              <w:rPr>
                <w:sz w:val="22"/>
                <w:szCs w:val="22"/>
                <w:lang w:val="en-US" w:eastAsia="en-US" w:bidi="ar-SA"/>
              </w:rPr>
              <w:t xml:space="preserve">comparable to those </w:t>
            </w:r>
            <w:r>
              <w:rPr>
                <w:sz w:val="22"/>
                <w:szCs w:val="22"/>
                <w:lang w:val="en-US" w:eastAsia="en-US" w:bidi="ar-SA"/>
              </w:rPr>
              <w:t xml:space="preserve">of the 2015 “bright line” rules </w:t>
            </w:r>
            <w:r w:rsidRPr="00AC31E1">
              <w:rPr>
                <w:sz w:val="22"/>
                <w:szCs w:val="22"/>
                <w:lang w:val="en-US" w:eastAsia="en-US" w:bidi="ar-SA"/>
              </w:rPr>
              <w:t>at lower cost.</w:t>
            </w:r>
          </w:p>
          <w:p w:rsidR="00AC31E1" w:rsidP="00AC31E1" w14:paraId="164B8F14" w14:textId="78F9427E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C31E1">
              <w:rPr>
                <w:sz w:val="22"/>
                <w:szCs w:val="22"/>
                <w:lang w:val="en-US" w:eastAsia="en-US" w:bidi="ar-SA"/>
              </w:rPr>
              <w:t>Eliminate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AC31E1">
              <w:rPr>
                <w:sz w:val="22"/>
                <w:szCs w:val="22"/>
                <w:lang w:val="en-US" w:eastAsia="en-US" w:bidi="ar-SA"/>
              </w:rPr>
              <w:t xml:space="preserve"> the vague and expansive Internet Conduct Standard, under which the FCC </w:t>
            </w:r>
            <w:r w:rsidR="00D245F0">
              <w:rPr>
                <w:sz w:val="22"/>
                <w:szCs w:val="22"/>
                <w:lang w:val="en-US" w:eastAsia="en-US" w:bidi="ar-SA"/>
              </w:rPr>
              <w:t xml:space="preserve">could </w:t>
            </w:r>
            <w:r w:rsidRPr="00AC31E1">
              <w:rPr>
                <w:sz w:val="22"/>
                <w:szCs w:val="22"/>
                <w:lang w:val="en-US" w:eastAsia="en-US" w:bidi="ar-SA"/>
              </w:rPr>
              <w:t>micromanage innovative business models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610669" w:rsidP="00610669" w14:paraId="6BBCAE0E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10669" w:rsidP="00610669" w14:paraId="406E4D57" w14:textId="17110968">
            <w:pPr>
              <w:tabs>
                <w:tab w:val="left" w:pos="8640"/>
              </w:tabs>
              <w:rPr>
                <w:rStyle w:val="DefaultParagraphFont"/>
                <w:b/>
                <w:i/>
                <w:sz w:val="22"/>
                <w:szCs w:val="22"/>
                <w:u w:val="single"/>
                <w:lang w:val="en-US" w:eastAsia="en-US" w:bidi="ar-SA"/>
              </w:rPr>
            </w:pPr>
            <w:r w:rsidRPr="00610669">
              <w:rPr>
                <w:b/>
                <w:i/>
                <w:sz w:val="22"/>
                <w:szCs w:val="22"/>
                <w:u w:val="single"/>
                <w:lang w:val="en-US" w:eastAsia="en-US" w:bidi="ar-SA"/>
              </w:rPr>
              <w:t>Order</w:t>
            </w:r>
          </w:p>
          <w:p w:rsidR="00D245F0" w:rsidRPr="00610669" w:rsidP="00610669" w14:paraId="03A29C7F" w14:textId="77777777">
            <w:pPr>
              <w:tabs>
                <w:tab w:val="left" w:pos="8640"/>
              </w:tabs>
              <w:rPr>
                <w:rStyle w:val="DefaultParagraphFont"/>
                <w:b/>
                <w:i/>
                <w:sz w:val="22"/>
                <w:szCs w:val="22"/>
                <w:u w:val="single"/>
                <w:lang w:val="en-US" w:eastAsia="en-US" w:bidi="ar-SA"/>
              </w:rPr>
            </w:pPr>
          </w:p>
          <w:p w:rsidR="00610669" w:rsidRPr="00610669" w:rsidP="00610669" w14:paraId="6299DEFE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10669">
              <w:rPr>
                <w:sz w:val="22"/>
                <w:szCs w:val="22"/>
                <w:lang w:val="en-US" w:eastAsia="en-US" w:bidi="ar-SA"/>
              </w:rPr>
              <w:t>Find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610669">
              <w:rPr>
                <w:sz w:val="22"/>
                <w:szCs w:val="22"/>
                <w:lang w:val="en-US" w:eastAsia="en-US" w:bidi="ar-SA"/>
              </w:rPr>
              <w:t xml:space="preserve"> that the public interest is not served by adding to the already-voluminous record in this proceeding additional materials, including confidential materials submitted in other proceedings</w:t>
            </w:r>
            <w:r w:rsidR="002E637D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360EF8" w:rsidP="00610669" w14:paraId="440C8EB0" w14:textId="77777777">
            <w:pPr>
              <w:tabs>
                <w:tab w:val="left" w:pos="8640"/>
              </w:tabs>
              <w:ind w:left="36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21A78" w:rsidP="00021A78" w14:paraId="30CADCAA" w14:textId="7D63EB6B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>
              <w:rPr>
                <w:sz w:val="22"/>
                <w:szCs w:val="22"/>
                <w:lang w:val="en-US" w:eastAsia="en-US" w:bidi="ar-SA"/>
              </w:rPr>
              <w:t xml:space="preserve">item takes effect </w:t>
            </w:r>
            <w:r w:rsidR="00383F19">
              <w:rPr>
                <w:sz w:val="22"/>
                <w:szCs w:val="22"/>
                <w:lang w:val="en-US" w:eastAsia="en-US" w:bidi="ar-SA"/>
              </w:rPr>
              <w:t>upon</w:t>
            </w:r>
            <w:r>
              <w:rPr>
                <w:sz w:val="22"/>
                <w:szCs w:val="22"/>
                <w:lang w:val="en-US" w:eastAsia="en-US" w:bidi="ar-SA"/>
              </w:rPr>
              <w:t xml:space="preserve"> approval by the Office of Management and Budget </w:t>
            </w:r>
            <w:r w:rsidR="00D245F0">
              <w:rPr>
                <w:sz w:val="22"/>
                <w:szCs w:val="22"/>
                <w:lang w:val="en-US" w:eastAsia="en-US" w:bidi="ar-SA"/>
              </w:rPr>
              <w:t>of the new transparency rule that require</w:t>
            </w:r>
            <w:r w:rsidR="00E301B4">
              <w:rPr>
                <w:sz w:val="22"/>
                <w:szCs w:val="22"/>
                <w:lang w:val="en-US" w:eastAsia="en-US" w:bidi="ar-SA"/>
              </w:rPr>
              <w:t>s</w:t>
            </w:r>
            <w:r w:rsidR="00D245F0">
              <w:rPr>
                <w:sz w:val="22"/>
                <w:szCs w:val="22"/>
                <w:lang w:val="en-US" w:eastAsia="en-US" w:bidi="ar-SA"/>
              </w:rPr>
              <w:t xml:space="preserve"> the collection of additional informat</w:t>
            </w:r>
            <w:r w:rsidR="00E301B4">
              <w:rPr>
                <w:sz w:val="22"/>
                <w:szCs w:val="22"/>
                <w:lang w:val="en-US" w:eastAsia="en-US" w:bidi="ar-SA"/>
              </w:rPr>
              <w:t>ion from industry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610669" w:rsidP="00610669" w14:paraId="718040B8" w14:textId="7DC1F48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A56B7" w:rsidRPr="003A56B7" w:rsidP="003A56B7" w14:paraId="72B9F218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A56B7">
              <w:rPr>
                <w:sz w:val="22"/>
                <w:szCs w:val="22"/>
                <w:lang w:val="en-US" w:eastAsia="en-US" w:bidi="ar-SA"/>
              </w:rPr>
              <w:t>Action by the Commission December 14, 2017 by Declaratory Ruling, Report and Order, and Order (FCC 17-166). Chairman Pai, Commissioners O’Rielly and Carr approving.  Commissioners Clyburn and Rosenworcel dissenting.  Chairman Pai, Commissioners Clyburn, O’Rielly, Carr and Rosenworcel issuing separate statements.</w:t>
            </w:r>
          </w:p>
          <w:p w:rsidR="003A56B7" w:rsidRPr="003A56B7" w:rsidP="003A56B7" w14:paraId="628966F9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A56B7" w:rsidRPr="00610669" w:rsidP="00610669" w14:paraId="14CFF6A8" w14:textId="55CD1D7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A56B7">
              <w:rPr>
                <w:sz w:val="22"/>
                <w:szCs w:val="22"/>
                <w:lang w:val="en-US" w:eastAsia="en-US" w:bidi="ar-SA"/>
              </w:rPr>
              <w:t>WC Docket No. 17-108</w:t>
            </w:r>
          </w:p>
          <w:p w:rsidR="00BD19E8" w:rsidRPr="00A225A9" w:rsidP="00DA7B44" w14:paraId="603FC050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08C1A571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07F4948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4CF1D20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74136D7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285AA7E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38E700C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1115F2A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120A4C55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319CF712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2BE" w14:paraId="12106B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2BE" w14:paraId="4F07796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2BE" w14:paraId="0ADC0DF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2BE" w14:paraId="05B346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2BE" w14:paraId="08C2AE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2BE" w14:paraId="270373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56B96"/>
    <w:multiLevelType w:val="hybridMultilevel"/>
    <w:tmpl w:val="4662B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6CF3B21"/>
    <w:multiLevelType w:val="hybridMultilevel"/>
    <w:tmpl w:val="6338D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76CB"/>
    <w:multiLevelType w:val="hybridMultilevel"/>
    <w:tmpl w:val="10F25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439D"/>
    <w:multiLevelType w:val="hybridMultilevel"/>
    <w:tmpl w:val="5EDA2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7"/>
    <w:rsid w:val="00003130"/>
    <w:rsid w:val="000134E5"/>
    <w:rsid w:val="00021A78"/>
    <w:rsid w:val="0002500C"/>
    <w:rsid w:val="00030BF6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6B8"/>
    <w:rsid w:val="00117DB2"/>
    <w:rsid w:val="00123ED2"/>
    <w:rsid w:val="00125BE0"/>
    <w:rsid w:val="00142C13"/>
    <w:rsid w:val="00150F97"/>
    <w:rsid w:val="00152776"/>
    <w:rsid w:val="00153222"/>
    <w:rsid w:val="001577D3"/>
    <w:rsid w:val="001733A6"/>
    <w:rsid w:val="001865A9"/>
    <w:rsid w:val="00187DB2"/>
    <w:rsid w:val="00194010"/>
    <w:rsid w:val="001B20BB"/>
    <w:rsid w:val="001C4370"/>
    <w:rsid w:val="001D3779"/>
    <w:rsid w:val="001F0469"/>
    <w:rsid w:val="00203A98"/>
    <w:rsid w:val="00206EDD"/>
    <w:rsid w:val="00210A01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A49E9"/>
    <w:rsid w:val="002B1013"/>
    <w:rsid w:val="002B3D41"/>
    <w:rsid w:val="002D03E5"/>
    <w:rsid w:val="002D35D2"/>
    <w:rsid w:val="002E026B"/>
    <w:rsid w:val="002E3D89"/>
    <w:rsid w:val="002E3F1D"/>
    <w:rsid w:val="002E637D"/>
    <w:rsid w:val="002F31D0"/>
    <w:rsid w:val="00300359"/>
    <w:rsid w:val="0031773E"/>
    <w:rsid w:val="0033065C"/>
    <w:rsid w:val="00333020"/>
    <w:rsid w:val="00333871"/>
    <w:rsid w:val="00347716"/>
    <w:rsid w:val="003506E1"/>
    <w:rsid w:val="00360EF8"/>
    <w:rsid w:val="003727E3"/>
    <w:rsid w:val="00383F19"/>
    <w:rsid w:val="00385A93"/>
    <w:rsid w:val="003910F1"/>
    <w:rsid w:val="003A56B7"/>
    <w:rsid w:val="003A6171"/>
    <w:rsid w:val="003C19DF"/>
    <w:rsid w:val="003C2226"/>
    <w:rsid w:val="003E0EF4"/>
    <w:rsid w:val="003E42FC"/>
    <w:rsid w:val="003E4D89"/>
    <w:rsid w:val="003E5991"/>
    <w:rsid w:val="003F344A"/>
    <w:rsid w:val="00403FF0"/>
    <w:rsid w:val="00404230"/>
    <w:rsid w:val="0042046D"/>
    <w:rsid w:val="0042116E"/>
    <w:rsid w:val="00421A68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27DB"/>
    <w:rsid w:val="004A729A"/>
    <w:rsid w:val="004B2591"/>
    <w:rsid w:val="004B4FEA"/>
    <w:rsid w:val="004B627A"/>
    <w:rsid w:val="004C0ADA"/>
    <w:rsid w:val="004C433E"/>
    <w:rsid w:val="004C4512"/>
    <w:rsid w:val="004C4F36"/>
    <w:rsid w:val="004D06DC"/>
    <w:rsid w:val="004D3D85"/>
    <w:rsid w:val="004E03A4"/>
    <w:rsid w:val="004E0A39"/>
    <w:rsid w:val="004E16A9"/>
    <w:rsid w:val="004E2BD8"/>
    <w:rsid w:val="004E5643"/>
    <w:rsid w:val="004F0F1F"/>
    <w:rsid w:val="005022AA"/>
    <w:rsid w:val="00504845"/>
    <w:rsid w:val="0050757F"/>
    <w:rsid w:val="00516AD2"/>
    <w:rsid w:val="005272FB"/>
    <w:rsid w:val="00545DAE"/>
    <w:rsid w:val="00571B83"/>
    <w:rsid w:val="00575A00"/>
    <w:rsid w:val="0058673C"/>
    <w:rsid w:val="00586B09"/>
    <w:rsid w:val="005A7972"/>
    <w:rsid w:val="005B17E7"/>
    <w:rsid w:val="005B2643"/>
    <w:rsid w:val="005C77F5"/>
    <w:rsid w:val="005D1787"/>
    <w:rsid w:val="005D17FD"/>
    <w:rsid w:val="005F0D55"/>
    <w:rsid w:val="005F183E"/>
    <w:rsid w:val="005F6ACE"/>
    <w:rsid w:val="00600DDA"/>
    <w:rsid w:val="00604211"/>
    <w:rsid w:val="00610669"/>
    <w:rsid w:val="00613498"/>
    <w:rsid w:val="00613710"/>
    <w:rsid w:val="00614117"/>
    <w:rsid w:val="0061411F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0E56"/>
    <w:rsid w:val="0070432F"/>
    <w:rsid w:val="0070589A"/>
    <w:rsid w:val="007167DD"/>
    <w:rsid w:val="00717A8F"/>
    <w:rsid w:val="0072478B"/>
    <w:rsid w:val="0073414D"/>
    <w:rsid w:val="0075235E"/>
    <w:rsid w:val="007528A5"/>
    <w:rsid w:val="007732CC"/>
    <w:rsid w:val="00774079"/>
    <w:rsid w:val="0077752B"/>
    <w:rsid w:val="007848E2"/>
    <w:rsid w:val="00793D6F"/>
    <w:rsid w:val="00794090"/>
    <w:rsid w:val="007A3D46"/>
    <w:rsid w:val="007A44F8"/>
    <w:rsid w:val="007D21BF"/>
    <w:rsid w:val="007F3C12"/>
    <w:rsid w:val="007F5205"/>
    <w:rsid w:val="0080625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6D2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2BE"/>
    <w:rsid w:val="0093357E"/>
    <w:rsid w:val="0093373C"/>
    <w:rsid w:val="00961620"/>
    <w:rsid w:val="009663E7"/>
    <w:rsid w:val="009734B6"/>
    <w:rsid w:val="0098096F"/>
    <w:rsid w:val="0098437A"/>
    <w:rsid w:val="00986C92"/>
    <w:rsid w:val="00993C47"/>
    <w:rsid w:val="009972BC"/>
    <w:rsid w:val="009A769A"/>
    <w:rsid w:val="009B4B16"/>
    <w:rsid w:val="009B6856"/>
    <w:rsid w:val="009C37DB"/>
    <w:rsid w:val="009D2A0B"/>
    <w:rsid w:val="009E54A1"/>
    <w:rsid w:val="009F4E25"/>
    <w:rsid w:val="009F5B1F"/>
    <w:rsid w:val="00A225A9"/>
    <w:rsid w:val="00A30072"/>
    <w:rsid w:val="00A35DFD"/>
    <w:rsid w:val="00A702DF"/>
    <w:rsid w:val="00A73067"/>
    <w:rsid w:val="00A775A3"/>
    <w:rsid w:val="00A81700"/>
    <w:rsid w:val="00A81B5B"/>
    <w:rsid w:val="00A82FAD"/>
    <w:rsid w:val="00A95989"/>
    <w:rsid w:val="00A9673A"/>
    <w:rsid w:val="00A96EF2"/>
    <w:rsid w:val="00AA5C35"/>
    <w:rsid w:val="00AA5ED9"/>
    <w:rsid w:val="00AC0A38"/>
    <w:rsid w:val="00AC31E1"/>
    <w:rsid w:val="00AC4E0E"/>
    <w:rsid w:val="00AC517B"/>
    <w:rsid w:val="00AD0D19"/>
    <w:rsid w:val="00AF051B"/>
    <w:rsid w:val="00B037A2"/>
    <w:rsid w:val="00B272F1"/>
    <w:rsid w:val="00B31870"/>
    <w:rsid w:val="00B320B8"/>
    <w:rsid w:val="00B35EE2"/>
    <w:rsid w:val="00B36DEF"/>
    <w:rsid w:val="00B57131"/>
    <w:rsid w:val="00B62F2C"/>
    <w:rsid w:val="00B70855"/>
    <w:rsid w:val="00B727C9"/>
    <w:rsid w:val="00B735C8"/>
    <w:rsid w:val="00B76A63"/>
    <w:rsid w:val="00B824EF"/>
    <w:rsid w:val="00BA6350"/>
    <w:rsid w:val="00BB4E29"/>
    <w:rsid w:val="00BB74C9"/>
    <w:rsid w:val="00BC223E"/>
    <w:rsid w:val="00BC3AB6"/>
    <w:rsid w:val="00BD19E8"/>
    <w:rsid w:val="00BD287F"/>
    <w:rsid w:val="00BD4273"/>
    <w:rsid w:val="00C432E4"/>
    <w:rsid w:val="00C70C26"/>
    <w:rsid w:val="00C72001"/>
    <w:rsid w:val="00C772B7"/>
    <w:rsid w:val="00C80347"/>
    <w:rsid w:val="00C85D90"/>
    <w:rsid w:val="00C87CC4"/>
    <w:rsid w:val="00C97380"/>
    <w:rsid w:val="00CB7C1A"/>
    <w:rsid w:val="00CC2344"/>
    <w:rsid w:val="00CC5E08"/>
    <w:rsid w:val="00CD6515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5F0"/>
    <w:rsid w:val="00D24C3D"/>
    <w:rsid w:val="00D46CB1"/>
    <w:rsid w:val="00D511BC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5A72"/>
    <w:rsid w:val="00DB67B7"/>
    <w:rsid w:val="00DC15A9"/>
    <w:rsid w:val="00DC40AA"/>
    <w:rsid w:val="00DD1750"/>
    <w:rsid w:val="00DE3CA4"/>
    <w:rsid w:val="00E17555"/>
    <w:rsid w:val="00E301B4"/>
    <w:rsid w:val="00E349AA"/>
    <w:rsid w:val="00E34E6F"/>
    <w:rsid w:val="00E41390"/>
    <w:rsid w:val="00E41CA0"/>
    <w:rsid w:val="00E4366B"/>
    <w:rsid w:val="00E50A4A"/>
    <w:rsid w:val="00E57804"/>
    <w:rsid w:val="00E606DE"/>
    <w:rsid w:val="00E644FE"/>
    <w:rsid w:val="00E72733"/>
    <w:rsid w:val="00E742FA"/>
    <w:rsid w:val="00E76816"/>
    <w:rsid w:val="00E83DBF"/>
    <w:rsid w:val="00E87C13"/>
    <w:rsid w:val="00E94CD9"/>
    <w:rsid w:val="00EA0454"/>
    <w:rsid w:val="00EA1A76"/>
    <w:rsid w:val="00EA290B"/>
    <w:rsid w:val="00EC5A10"/>
    <w:rsid w:val="00EE0E90"/>
    <w:rsid w:val="00EF2465"/>
    <w:rsid w:val="00EF3BCA"/>
    <w:rsid w:val="00F01B0D"/>
    <w:rsid w:val="00F10CB2"/>
    <w:rsid w:val="00F1238F"/>
    <w:rsid w:val="00F16485"/>
    <w:rsid w:val="00F228ED"/>
    <w:rsid w:val="00F26E31"/>
    <w:rsid w:val="00F27C6C"/>
    <w:rsid w:val="00F34A8D"/>
    <w:rsid w:val="00F41FE2"/>
    <w:rsid w:val="00F50D25"/>
    <w:rsid w:val="00F535D8"/>
    <w:rsid w:val="00F61155"/>
    <w:rsid w:val="00F64FB8"/>
    <w:rsid w:val="00F708E3"/>
    <w:rsid w:val="00F76561"/>
    <w:rsid w:val="00F81BC0"/>
    <w:rsid w:val="00F84736"/>
    <w:rsid w:val="00FB15C7"/>
    <w:rsid w:val="00FC3F4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4D8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64F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4F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FB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64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4F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1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2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32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DE1F-8418-4B77-B4B3-DA8C7D48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2017-12-14T18:30:27Z</dcterms:created>
  <dcterms:modified xsi:type="dcterms:W3CDTF">2017-12-14T18:30:27Z</dcterms:modified>
</cp:coreProperties>
</file>